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02" w:rsidRPr="008C2209" w:rsidRDefault="00DF3402" w:rsidP="00DF3402">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rPr>
      </w:pPr>
      <w:r w:rsidRPr="008C2209">
        <w:rPr>
          <w:b/>
        </w:rPr>
        <w:t>Instruktivni materijal: Formativno ocenjivanje</w:t>
      </w:r>
    </w:p>
    <w:p w:rsidR="00DF3402" w:rsidRPr="008C2209" w:rsidRDefault="00DF3402" w:rsidP="00DF3402">
      <w:pPr>
        <w:spacing w:line="360" w:lineRule="auto"/>
        <w:ind w:firstLine="720"/>
      </w:pPr>
    </w:p>
    <w:p w:rsidR="00DF3402" w:rsidRPr="008C2209" w:rsidRDefault="00DF3402" w:rsidP="00DF3402">
      <w:pPr>
        <w:spacing w:line="360" w:lineRule="auto"/>
        <w:ind w:firstLine="720"/>
        <w:jc w:val="both"/>
      </w:pPr>
      <w:r w:rsidRPr="008C2209">
        <w:t>Formativno ocenjivanje najbolje možemo razumeti njegovim poređenjem sa sumativnim ocenjivanjem. Ove dve vrste ocenjivanja razlikuju se u odnosu na njihovu funkciju, odnosno ulogu u nastavnom procesu i procesu učenja.</w:t>
      </w:r>
    </w:p>
    <w:p w:rsidR="00DF3402" w:rsidRPr="008C2209" w:rsidRDefault="00DF3402" w:rsidP="00DF3402">
      <w:pPr>
        <w:spacing w:line="360" w:lineRule="auto"/>
        <w:ind w:firstLine="720"/>
        <w:jc w:val="both"/>
      </w:pPr>
    </w:p>
    <w:tbl>
      <w:tblPr>
        <w:tblStyle w:val="TableGrid"/>
        <w:tblW w:w="0" w:type="auto"/>
        <w:tblInd w:w="108" w:type="dxa"/>
        <w:tblLook w:val="04A0" w:firstRow="1" w:lastRow="0" w:firstColumn="1" w:lastColumn="0" w:noHBand="0" w:noVBand="1"/>
      </w:tblPr>
      <w:tblGrid>
        <w:gridCol w:w="4590"/>
        <w:gridCol w:w="4545"/>
      </w:tblGrid>
      <w:tr w:rsidR="00DF3402" w:rsidRPr="00A96D58" w:rsidTr="00376A26">
        <w:trPr>
          <w:trHeight w:val="512"/>
        </w:trPr>
        <w:tc>
          <w:tcPr>
            <w:tcW w:w="4590" w:type="dxa"/>
            <w:vAlign w:val="center"/>
          </w:tcPr>
          <w:p w:rsidR="00DF3402" w:rsidRPr="00A96D58" w:rsidRDefault="00DF3402" w:rsidP="00376A26">
            <w:pPr>
              <w:spacing w:line="360" w:lineRule="auto"/>
              <w:jc w:val="center"/>
              <w:rPr>
                <w:b/>
              </w:rPr>
            </w:pPr>
            <w:r w:rsidRPr="00A96D58">
              <w:rPr>
                <w:b/>
              </w:rPr>
              <w:t>Formativno ocenjivanje</w:t>
            </w:r>
          </w:p>
        </w:tc>
        <w:tc>
          <w:tcPr>
            <w:tcW w:w="4545" w:type="dxa"/>
            <w:vAlign w:val="center"/>
          </w:tcPr>
          <w:p w:rsidR="00DF3402" w:rsidRPr="00A96D58" w:rsidRDefault="00DF3402" w:rsidP="00376A26">
            <w:pPr>
              <w:spacing w:line="360" w:lineRule="auto"/>
              <w:jc w:val="center"/>
              <w:rPr>
                <w:b/>
              </w:rPr>
            </w:pPr>
            <w:r w:rsidRPr="00A96D58">
              <w:rPr>
                <w:b/>
              </w:rPr>
              <w:t>Sumativno ocenjivanje</w:t>
            </w:r>
          </w:p>
        </w:tc>
      </w:tr>
      <w:tr w:rsidR="00DF3402" w:rsidRPr="00A96D58" w:rsidTr="00376A26">
        <w:tc>
          <w:tcPr>
            <w:tcW w:w="4590" w:type="dxa"/>
            <w:vAlign w:val="center"/>
          </w:tcPr>
          <w:p w:rsidR="00DF3402" w:rsidRPr="00A96D58" w:rsidRDefault="00DF3402" w:rsidP="00DF3402">
            <w:pPr>
              <w:pStyle w:val="ListParagraph"/>
              <w:numPr>
                <w:ilvl w:val="0"/>
                <w:numId w:val="2"/>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 xml:space="preserve">Ocenjivanje </w:t>
            </w:r>
            <w:r w:rsidRPr="00A96D58">
              <w:rPr>
                <w:rFonts w:ascii="Times New Roman" w:hAnsi="Times New Roman" w:cs="Times New Roman"/>
                <w:i/>
                <w:sz w:val="24"/>
                <w:szCs w:val="24"/>
              </w:rPr>
              <w:t>služi oblikovanju, usmeravanju, planiranju i vođenju</w:t>
            </w:r>
            <w:r w:rsidRPr="00A96D58">
              <w:rPr>
                <w:rFonts w:ascii="Times New Roman" w:hAnsi="Times New Roman" w:cs="Times New Roman"/>
                <w:sz w:val="24"/>
                <w:szCs w:val="24"/>
              </w:rPr>
              <w:t xml:space="preserve"> </w:t>
            </w:r>
            <w:r w:rsidRPr="00A96D58">
              <w:rPr>
                <w:rFonts w:ascii="Times New Roman" w:hAnsi="Times New Roman" w:cs="Times New Roman"/>
                <w:i/>
                <w:sz w:val="24"/>
                <w:szCs w:val="24"/>
              </w:rPr>
              <w:t>procesa</w:t>
            </w:r>
            <w:r w:rsidRPr="00A96D58">
              <w:rPr>
                <w:rFonts w:ascii="Times New Roman" w:hAnsi="Times New Roman" w:cs="Times New Roman"/>
                <w:sz w:val="24"/>
                <w:szCs w:val="24"/>
              </w:rPr>
              <w:t xml:space="preserve"> učenja, odnosno narednih nastavnih aktivnosti.</w:t>
            </w:r>
          </w:p>
        </w:tc>
        <w:tc>
          <w:tcPr>
            <w:tcW w:w="4545" w:type="dxa"/>
            <w:vAlign w:val="center"/>
          </w:tcPr>
          <w:p w:rsidR="00DF3402" w:rsidRPr="00A96D58" w:rsidRDefault="00DF3402" w:rsidP="00DF3402">
            <w:pPr>
              <w:pStyle w:val="ListParagraph"/>
              <w:numPr>
                <w:ilvl w:val="0"/>
                <w:numId w:val="1"/>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 xml:space="preserve">Daje sliku o tome koliko je učenik do tada naučio, odnosno šta zna, razume i može da uradi, tj. </w:t>
            </w:r>
            <w:r w:rsidRPr="00A96D58">
              <w:rPr>
                <w:rFonts w:ascii="Times New Roman" w:hAnsi="Times New Roman" w:cs="Times New Roman"/>
                <w:i/>
                <w:sz w:val="24"/>
                <w:szCs w:val="24"/>
              </w:rPr>
              <w:t>daje sumiranu sliku o postignuću</w:t>
            </w:r>
            <w:r w:rsidRPr="00A96D58">
              <w:rPr>
                <w:rFonts w:ascii="Times New Roman" w:hAnsi="Times New Roman" w:cs="Times New Roman"/>
                <w:sz w:val="24"/>
                <w:szCs w:val="24"/>
              </w:rPr>
              <w:t>.</w:t>
            </w:r>
          </w:p>
        </w:tc>
      </w:tr>
      <w:tr w:rsidR="00DF3402" w:rsidRPr="00A96D58" w:rsidTr="00376A26">
        <w:tc>
          <w:tcPr>
            <w:tcW w:w="4590" w:type="dxa"/>
            <w:vAlign w:val="center"/>
          </w:tcPr>
          <w:p w:rsidR="00DF3402" w:rsidRPr="00A96D58" w:rsidRDefault="00DF3402" w:rsidP="00DF3402">
            <w:pPr>
              <w:pStyle w:val="ListParagraph"/>
              <w:numPr>
                <w:ilvl w:val="0"/>
                <w:numId w:val="1"/>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 xml:space="preserve">U skladu je sa savremenim didaktičkim shvatanjima ocenjivanja kao </w:t>
            </w:r>
            <w:r w:rsidRPr="00A96D58">
              <w:rPr>
                <w:rFonts w:ascii="Times New Roman" w:hAnsi="Times New Roman" w:cs="Times New Roman"/>
                <w:i/>
                <w:sz w:val="24"/>
                <w:szCs w:val="24"/>
              </w:rPr>
              <w:t>integralnog dela procesa nastave</w:t>
            </w:r>
            <w:r w:rsidRPr="00A96D58">
              <w:rPr>
                <w:rFonts w:ascii="Times New Roman" w:hAnsi="Times New Roman" w:cs="Times New Roman"/>
                <w:sz w:val="24"/>
                <w:szCs w:val="24"/>
              </w:rPr>
              <w:t xml:space="preserve"> i služi poboljšanju nastave.</w:t>
            </w:r>
          </w:p>
        </w:tc>
        <w:tc>
          <w:tcPr>
            <w:tcW w:w="4545" w:type="dxa"/>
            <w:vAlign w:val="center"/>
          </w:tcPr>
          <w:p w:rsidR="00DF3402" w:rsidRPr="00A96D58" w:rsidRDefault="00DF3402" w:rsidP="00DF3402">
            <w:pPr>
              <w:pStyle w:val="ListParagraph"/>
              <w:numPr>
                <w:ilvl w:val="0"/>
                <w:numId w:val="1"/>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 xml:space="preserve">Tekovina je tradicionalnog razumevanja ocenjivanja kao aktivnosti koja je </w:t>
            </w:r>
            <w:r w:rsidRPr="00A96D58">
              <w:rPr>
                <w:rFonts w:ascii="Times New Roman" w:hAnsi="Times New Roman" w:cs="Times New Roman"/>
                <w:i/>
                <w:sz w:val="24"/>
                <w:szCs w:val="24"/>
              </w:rPr>
              <w:t>izolovana od procesa nastave</w:t>
            </w:r>
            <w:r w:rsidRPr="00A96D58">
              <w:rPr>
                <w:rFonts w:ascii="Times New Roman" w:hAnsi="Times New Roman" w:cs="Times New Roman"/>
                <w:sz w:val="24"/>
                <w:szCs w:val="24"/>
              </w:rPr>
              <w:t>, koja se dešava nakon završetka određene celine.</w:t>
            </w:r>
          </w:p>
        </w:tc>
      </w:tr>
      <w:tr w:rsidR="00DF3402" w:rsidRPr="00A96D58" w:rsidTr="00376A26">
        <w:tc>
          <w:tcPr>
            <w:tcW w:w="4590" w:type="dxa"/>
            <w:vAlign w:val="center"/>
          </w:tcPr>
          <w:p w:rsidR="00DF3402" w:rsidRPr="00A96D58" w:rsidRDefault="00DF3402" w:rsidP="00DF3402">
            <w:pPr>
              <w:pStyle w:val="ListParagraph"/>
              <w:numPr>
                <w:ilvl w:val="0"/>
                <w:numId w:val="1"/>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Ograničenje: ostvarivanje nije lak zadatak ni za nastavnike ni za učenike (traži aktivnu ulogu, kontinuitet u učenju i proceni znanja).</w:t>
            </w:r>
          </w:p>
        </w:tc>
        <w:tc>
          <w:tcPr>
            <w:tcW w:w="4545" w:type="dxa"/>
            <w:vAlign w:val="center"/>
          </w:tcPr>
          <w:p w:rsidR="00DF3402" w:rsidRPr="00A96D58" w:rsidRDefault="00DF3402" w:rsidP="00DF3402">
            <w:pPr>
              <w:pStyle w:val="ListParagraph"/>
              <w:numPr>
                <w:ilvl w:val="0"/>
                <w:numId w:val="1"/>
              </w:numPr>
              <w:spacing w:after="0" w:line="360" w:lineRule="auto"/>
              <w:rPr>
                <w:rFonts w:ascii="Times New Roman" w:hAnsi="Times New Roman" w:cs="Times New Roman"/>
                <w:sz w:val="24"/>
                <w:szCs w:val="24"/>
              </w:rPr>
            </w:pPr>
            <w:r w:rsidRPr="00A96D58">
              <w:rPr>
                <w:rFonts w:ascii="Times New Roman" w:hAnsi="Times New Roman" w:cs="Times New Roman"/>
                <w:sz w:val="24"/>
                <w:szCs w:val="24"/>
              </w:rPr>
              <w:t>Ograničenje: nemogućnost da se utiče na proces učenja, tj. da se podaci dobijeni ocenjivanjem koriste za upravljanje daljim tokom učenja.</w:t>
            </w:r>
          </w:p>
        </w:tc>
      </w:tr>
    </w:tbl>
    <w:p w:rsidR="00DF3402" w:rsidRPr="008C2209" w:rsidRDefault="00DF3402" w:rsidP="00DF3402">
      <w:pPr>
        <w:spacing w:line="360" w:lineRule="auto"/>
        <w:ind w:firstLine="720"/>
        <w:jc w:val="both"/>
      </w:pPr>
    </w:p>
    <w:p w:rsidR="00DF3402" w:rsidRPr="008C2209" w:rsidRDefault="00DF3402" w:rsidP="00DF3402">
      <w:pPr>
        <w:spacing w:line="360" w:lineRule="auto"/>
        <w:ind w:firstLine="720"/>
        <w:jc w:val="both"/>
      </w:pPr>
      <w:r w:rsidRPr="008C2209">
        <w:t>Iako se sumativno ocenjivanje najčešće vrši na kraju neke celine, a formativno kontinuirano u toku procesa učenja, kriterijum njihovog razlikovanja nije vreme, već funkcija! Prema tome, ocenjivanje na kraju celine da bi se osmislio dalji proces je formativno vrednovanje, a ocenjivanje više puta u toku semestra nije formativno ako ne usmerava dalji proces već samo konstatuje trenutno stanje.</w:t>
      </w:r>
    </w:p>
    <w:p w:rsidR="00DF3402" w:rsidRPr="008C2209" w:rsidRDefault="00DF3402" w:rsidP="00DF3402">
      <w:pPr>
        <w:spacing w:line="360" w:lineRule="auto"/>
        <w:ind w:firstLine="720"/>
        <w:jc w:val="both"/>
      </w:pPr>
      <w:r w:rsidRPr="008C2209">
        <w:t>Ipak, ove dve vrste ocenjivanja ne mogu se ni potpuno razdvojiti. Na primer, možemo koristiti rezultate sumativnog vrednovanja za formativno vrednovanje, tj. usmeravanje procesa učenja. Takođe, formativne ocene mogu služiti za davanje sumativne ocene.</w:t>
      </w:r>
    </w:p>
    <w:p w:rsidR="00DF3402" w:rsidRPr="008C2209" w:rsidRDefault="00DF3402" w:rsidP="00DF3402">
      <w:pPr>
        <w:spacing w:line="360" w:lineRule="auto"/>
      </w:pPr>
    </w:p>
    <w:p w:rsidR="00DF3402" w:rsidRPr="008C2209" w:rsidRDefault="00DF3402" w:rsidP="00DF3402">
      <w:pPr>
        <w:spacing w:line="360" w:lineRule="auto"/>
        <w:rPr>
          <w:b/>
        </w:rPr>
      </w:pPr>
    </w:p>
    <w:p w:rsidR="00140431" w:rsidRDefault="00140431">
      <w:pPr>
        <w:spacing w:after="200" w:line="276" w:lineRule="auto"/>
        <w:rPr>
          <w:b/>
        </w:rPr>
      </w:pPr>
      <w:r>
        <w:rPr>
          <w:b/>
        </w:rPr>
        <w:br w:type="page"/>
      </w:r>
    </w:p>
    <w:p w:rsidR="00DF3402" w:rsidRPr="008C2209" w:rsidRDefault="00DF3402" w:rsidP="00DF3402">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rPr>
      </w:pPr>
      <w:r w:rsidRPr="008C2209">
        <w:rPr>
          <w:b/>
        </w:rPr>
        <w:lastRenderedPageBreak/>
        <w:t>Instruktivni materijal: Opisno ocenjivanje</w:t>
      </w:r>
    </w:p>
    <w:p w:rsidR="00DF3402" w:rsidRPr="008C2209" w:rsidRDefault="00DF3402" w:rsidP="00DF3402">
      <w:pPr>
        <w:spacing w:line="360" w:lineRule="auto"/>
      </w:pPr>
      <w:r w:rsidRPr="008C2209">
        <w:tab/>
      </w:r>
    </w:p>
    <w:p w:rsidR="00DF3402" w:rsidRPr="008C2209" w:rsidRDefault="00DF3402" w:rsidP="00DF3402">
      <w:pPr>
        <w:spacing w:line="360" w:lineRule="auto"/>
        <w:ind w:firstLine="720"/>
        <w:jc w:val="both"/>
      </w:pPr>
      <w:r w:rsidRPr="008C2209">
        <w:t xml:space="preserve">Obično se pravi razlika između opisnih i numeričkih ocena i ta razlika se često povezuje sa načinom simboličkog prikazivanja ocena, što dovodi do njihovog pogrešnog shvatanja. Brojevi ili slova su zapravo samo dva različita načina označavanja </w:t>
      </w:r>
      <w:r w:rsidRPr="008C2209">
        <w:rPr>
          <w:b/>
        </w:rPr>
        <w:t>globalnih ocena</w:t>
      </w:r>
      <w:r w:rsidRPr="008C2209">
        <w:t xml:space="preserve">. Prema tome, bilo da kažemo da je učenik dobio “4”, “B” ili je zadatak uradio “vrlo dobro”, mi mu saopštavamo globalan sud o njegovom uspehu. Globalni sud je </w:t>
      </w:r>
      <w:r w:rsidRPr="008C2209">
        <w:rPr>
          <w:i/>
        </w:rPr>
        <w:t>uopšten, neizdiferenciran</w:t>
      </w:r>
      <w:r w:rsidRPr="008C2209">
        <w:t xml:space="preserve"> i često se zasniva na opštem utisku o radu učenika, pa tako nismo sigurni šta je sadržaj tog suda. </w:t>
      </w:r>
    </w:p>
    <w:p w:rsidR="00DF3402" w:rsidRPr="008C2209" w:rsidRDefault="00DF3402" w:rsidP="00DF3402">
      <w:pPr>
        <w:spacing w:line="360" w:lineRule="auto"/>
        <w:ind w:firstLine="720"/>
        <w:jc w:val="both"/>
      </w:pPr>
      <w:r w:rsidRPr="008C2209">
        <w:t xml:space="preserve">S druge strane, da bi došlo do </w:t>
      </w:r>
      <w:r w:rsidRPr="008C2209">
        <w:rPr>
          <w:b/>
        </w:rPr>
        <w:t>opisne ocene</w:t>
      </w:r>
      <w:r w:rsidRPr="008C2209">
        <w:t xml:space="preserve">, predmet ocenjivanja moramo </w:t>
      </w:r>
      <w:r w:rsidRPr="008C2209">
        <w:rPr>
          <w:i/>
        </w:rPr>
        <w:t xml:space="preserve">raščlaniti </w:t>
      </w:r>
      <w:r w:rsidRPr="008C2209">
        <w:t xml:space="preserve">na delove, zatim za svaki deo utvrđujemo </w:t>
      </w:r>
      <w:r w:rsidRPr="008C2209">
        <w:rPr>
          <w:i/>
        </w:rPr>
        <w:t>pokazatelje uspeha</w:t>
      </w:r>
      <w:r w:rsidRPr="008C2209">
        <w:t xml:space="preserve">, a za njih vezujemo </w:t>
      </w:r>
      <w:r w:rsidRPr="008C2209">
        <w:rPr>
          <w:i/>
        </w:rPr>
        <w:t>vrednosni kriterijum</w:t>
      </w:r>
      <w:r w:rsidRPr="008C2209">
        <w:t xml:space="preserve"> na osnovu kojeg određujemo šta jeste, a šta nije uspeh. Opisna ocena je skup iskaza o postignućima u svakoj komponenti predmeta ocenjivanja. Ona može biti izražena i numerički, ali ne jednim brojem, već nizom brojeva koji pokazuju stepen uspešnosti u definisanim umenjima. Dakle, opisna ocena ne prestaje da bude opisna ako pored verbalnog navođenja informacija o napredovanju učenika uključuje i brojeve, sve dok je navedena jasna specifikacija informativnog sadržaja i instruktivnog značenja ocena. </w:t>
      </w:r>
    </w:p>
    <w:p w:rsidR="00DF3402" w:rsidRPr="008C2209" w:rsidRDefault="00DF3402" w:rsidP="00DF3402">
      <w:pPr>
        <w:spacing w:line="360" w:lineRule="auto"/>
        <w:ind w:firstLine="720"/>
        <w:jc w:val="both"/>
      </w:pPr>
      <w:r w:rsidRPr="008C2209">
        <w:t xml:space="preserve">Formativno ocenjivanje je uvek opisno, dok kod sumativnog ocenjivanja takođe ocene treba da budu propraćene opisom ili komentarom koji ukazuje na sadržaj koji stoji iza ocene i šta je potrebno da učenik uči u narednim koracima. </w:t>
      </w:r>
    </w:p>
    <w:p w:rsidR="00DF3402" w:rsidRPr="008C2209" w:rsidRDefault="00DF3402" w:rsidP="00DF3402">
      <w:pPr>
        <w:spacing w:line="360" w:lineRule="auto"/>
      </w:pPr>
    </w:p>
    <w:p w:rsidR="00DF3402" w:rsidRPr="008C2209" w:rsidRDefault="00DF3402" w:rsidP="00DF3402">
      <w:pPr>
        <w:spacing w:line="360" w:lineRule="auto"/>
        <w:jc w:val="center"/>
      </w:pPr>
      <w:r>
        <w:rPr>
          <w:noProof/>
        </w:rPr>
        <mc:AlternateContent>
          <mc:Choice Requires="wps">
            <w:drawing>
              <wp:inline distT="0" distB="0" distL="0" distR="0" wp14:anchorId="34BB3913" wp14:editId="0D894BF2">
                <wp:extent cx="5238750" cy="2543175"/>
                <wp:effectExtent l="38100" t="38100" r="114300" b="12382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43175"/>
                        </a:xfrm>
                        <a:prstGeom prst="rect">
                          <a:avLst/>
                        </a:prstGeom>
                        <a:solidFill>
                          <a:srgbClr val="FFFFFF"/>
                        </a:solidFill>
                        <a:ln w="9525">
                          <a:solidFill>
                            <a:srgbClr val="000000"/>
                          </a:solidFill>
                          <a:prstDash val="solid"/>
                          <a:miter lim="800000"/>
                          <a:headEnd/>
                          <a:tailEnd/>
                        </a:ln>
                        <a:effectLst>
                          <a:outerShdw blurRad="50800" dist="38100" dir="2700000" algn="tl" rotWithShape="0">
                            <a:prstClr val="black">
                              <a:alpha val="40000"/>
                            </a:prstClr>
                          </a:outerShdw>
                        </a:effectLst>
                      </wps:spPr>
                      <wps:txbx>
                        <w:txbxContent>
                          <w:p w:rsidR="00DF3402" w:rsidRPr="00D86563" w:rsidRDefault="00DF3402" w:rsidP="00DF3402">
                            <w:pPr>
                              <w:spacing w:line="360" w:lineRule="auto"/>
                              <w:jc w:val="center"/>
                              <w:rPr>
                                <w:sz w:val="22"/>
                              </w:rPr>
                            </w:pPr>
                            <w:r w:rsidRPr="00D86563">
                              <w:rPr>
                                <w:sz w:val="22"/>
                              </w:rPr>
                              <w:t>Argumenti koji govore u prilog opisnom ocenjivanju:</w:t>
                            </w:r>
                          </w:p>
                          <w:p w:rsidR="00DF3402" w:rsidRPr="00D86563" w:rsidRDefault="00DF3402" w:rsidP="00DF3402">
                            <w:pPr>
                              <w:spacing w:line="360" w:lineRule="auto"/>
                              <w:jc w:val="center"/>
                              <w:rPr>
                                <w:sz w:val="14"/>
                              </w:rPr>
                            </w:pP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Ne klasifikuje učenike, nego njihova postignuća.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Ne vrednuje učenika, već pruža konkretne informacije o efikasnosti učenikovog angažovanja i o kvalitetu ishoda tog angažovanja.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Na osnovu informacija o ostvarenom napredovanju sugeriše sledeće korake, definiše ciljeve daljeg učenja i razvoja.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U ranoj fazi školovanja opisno ocenjivanje je važna dimenzija pedagoške strategije škole i nastavnika (pomaže da se ciljevi povežu sa zalaganjem i vežbanjem i kriterijumima uspeha).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412.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">
                <v:shadow on="t" color="black" opacity="26214f" origin="-.5,-.5" offset=".74836mm,.74836mm"/>
                <v:textbox>
                  <w:txbxContent>
                    <w:p w:rsidR="00DF3402" w:rsidRPr="00D86563" w:rsidRDefault="00DF3402" w:rsidP="00DF3402">
                      <w:pPr>
                        <w:spacing w:line="360" w:lineRule="auto"/>
                        <w:jc w:val="center"/>
                        <w:rPr>
                          <w:sz w:val="22"/>
                        </w:rPr>
                      </w:pPr>
                      <w:r w:rsidRPr="00D86563">
                        <w:rPr>
                          <w:sz w:val="22"/>
                        </w:rPr>
                        <w:t>Argumenti koji govore u prilog opisnom ocenjivanju:</w:t>
                      </w:r>
                    </w:p>
                    <w:p w:rsidR="00DF3402" w:rsidRPr="00D86563" w:rsidRDefault="00DF3402" w:rsidP="00DF3402">
                      <w:pPr>
                        <w:spacing w:line="360" w:lineRule="auto"/>
                        <w:jc w:val="center"/>
                        <w:rPr>
                          <w:sz w:val="14"/>
                        </w:rPr>
                      </w:pP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Ne klasifikuje učenike, nego njihova postignuća.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Ne vrednuje učenika, već pruža konkretne informacije o efikasnosti učenikovog angažovanja i o kvalitetu ishoda tog angažovanja.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Na osnovu informacija o ostvarenom napredovanju sugeriše sledeće korake, definiše ciljeve daljeg učenja i razvoja.</w:t>
                      </w:r>
                    </w:p>
                    <w:p w:rsidR="00DF3402" w:rsidRPr="00D86563" w:rsidRDefault="00DF3402" w:rsidP="00DF3402">
                      <w:pPr>
                        <w:pStyle w:val="ListParagraph"/>
                        <w:numPr>
                          <w:ilvl w:val="0"/>
                          <w:numId w:val="3"/>
                        </w:numPr>
                        <w:spacing w:after="0" w:line="360" w:lineRule="auto"/>
                        <w:rPr>
                          <w:rFonts w:ascii="Times New Roman" w:hAnsi="Times New Roman" w:cs="Times New Roman"/>
                          <w:i/>
                          <w:szCs w:val="24"/>
                        </w:rPr>
                      </w:pPr>
                      <w:r w:rsidRPr="00D86563">
                        <w:rPr>
                          <w:rFonts w:ascii="Times New Roman" w:hAnsi="Times New Roman" w:cs="Times New Roman"/>
                          <w:szCs w:val="24"/>
                        </w:rPr>
                        <w:t>U ranoj fazi školovanja opisno ocenjivanje je važna dimenzija pedagoške strategije škole i nastavnika (pomaže da se ciljevi povežu sa zalaganjem i vežbanjem i kriterijumima uspeha).</w:t>
                      </w:r>
                    </w:p>
                  </w:txbxContent>
                </v:textbox>
                <w10:anchorlock/>
              </v:shape>
            </w:pict>
          </mc:Fallback>
        </mc:AlternateContent>
      </w:r>
    </w:p>
    <w:p w:rsidR="00DF3402" w:rsidRPr="008C2209" w:rsidRDefault="00DF3402" w:rsidP="00DF3402">
      <w:pPr>
        <w:spacing w:line="360" w:lineRule="auto"/>
        <w:rPr>
          <w:b/>
        </w:rPr>
      </w:pPr>
    </w:p>
    <w:p w:rsidR="00E06BFC" w:rsidRPr="00B1738A" w:rsidRDefault="004C21BF">
      <w:pPr>
        <w:rPr>
          <w:lang w:val="sr-Cyrl-RS"/>
        </w:rPr>
      </w:pPr>
      <w:bookmarkStart w:id="0" w:name="_GoBack"/>
      <w:bookmarkEnd w:id="0"/>
    </w:p>
    <w:sectPr w:rsidR="00E06BFC" w:rsidRPr="00B1738A" w:rsidSect="00DF3402">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BF" w:rsidRDefault="004C21BF" w:rsidP="00F24ACC">
      <w:r>
        <w:separator/>
      </w:r>
    </w:p>
  </w:endnote>
  <w:endnote w:type="continuationSeparator" w:id="0">
    <w:p w:rsidR="004C21BF" w:rsidRDefault="004C21BF" w:rsidP="00F2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58226"/>
      <w:docPartObj>
        <w:docPartGallery w:val="Page Numbers (Bottom of Page)"/>
        <w:docPartUnique/>
      </w:docPartObj>
    </w:sdtPr>
    <w:sdtEndPr>
      <w:rPr>
        <w:noProof/>
      </w:rPr>
    </w:sdtEndPr>
    <w:sdtContent>
      <w:p w:rsidR="00F24ACC" w:rsidRDefault="00F24ACC">
        <w:pPr>
          <w:pStyle w:val="Footer"/>
          <w:jc w:val="center"/>
        </w:pPr>
        <w:r>
          <w:fldChar w:fldCharType="begin"/>
        </w:r>
        <w:r>
          <w:instrText xml:space="preserve"> PAGE   \* MERGEFORMAT </w:instrText>
        </w:r>
        <w:r>
          <w:fldChar w:fldCharType="separate"/>
        </w:r>
        <w:r w:rsidR="004C21BF">
          <w:rPr>
            <w:noProof/>
          </w:rPr>
          <w:t>1</w:t>
        </w:r>
        <w:r>
          <w:rPr>
            <w:noProof/>
          </w:rPr>
          <w:fldChar w:fldCharType="end"/>
        </w:r>
      </w:p>
    </w:sdtContent>
  </w:sdt>
  <w:p w:rsidR="00F24ACC" w:rsidRDefault="00F2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BF" w:rsidRDefault="004C21BF" w:rsidP="00F24ACC">
      <w:r>
        <w:separator/>
      </w:r>
    </w:p>
  </w:footnote>
  <w:footnote w:type="continuationSeparator" w:id="0">
    <w:p w:rsidR="004C21BF" w:rsidRDefault="004C21BF" w:rsidP="00F24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222"/>
    <w:multiLevelType w:val="hybridMultilevel"/>
    <w:tmpl w:val="0342378A"/>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
    <w:nsid w:val="0A54700A"/>
    <w:multiLevelType w:val="hybridMultilevel"/>
    <w:tmpl w:val="E8A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5DFD"/>
    <w:multiLevelType w:val="hybridMultilevel"/>
    <w:tmpl w:val="DDAE1A96"/>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17071560"/>
    <w:multiLevelType w:val="hybridMultilevel"/>
    <w:tmpl w:val="54CCACF4"/>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228F0851"/>
    <w:multiLevelType w:val="hybridMultilevel"/>
    <w:tmpl w:val="78AA7F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7C039FE"/>
    <w:multiLevelType w:val="hybridMultilevel"/>
    <w:tmpl w:val="015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F60C6"/>
    <w:multiLevelType w:val="hybridMultilevel"/>
    <w:tmpl w:val="B120A7F4"/>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3EBD198A"/>
    <w:multiLevelType w:val="hybridMultilevel"/>
    <w:tmpl w:val="EE40AD5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403B6128"/>
    <w:multiLevelType w:val="hybridMultilevel"/>
    <w:tmpl w:val="76FAF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A1C59"/>
    <w:multiLevelType w:val="hybridMultilevel"/>
    <w:tmpl w:val="8780DC6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5ECA34EC"/>
    <w:multiLevelType w:val="hybridMultilevel"/>
    <w:tmpl w:val="15E8D2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8069B"/>
    <w:multiLevelType w:val="hybridMultilevel"/>
    <w:tmpl w:val="0B6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4997"/>
    <w:multiLevelType w:val="hybridMultilevel"/>
    <w:tmpl w:val="D10435C8"/>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12"/>
  </w:num>
  <w:num w:numId="6">
    <w:abstractNumId w:val="2"/>
  </w:num>
  <w:num w:numId="7">
    <w:abstractNumId w:val="3"/>
  </w:num>
  <w:num w:numId="8">
    <w:abstractNumId w:val="0"/>
  </w:num>
  <w:num w:numId="9">
    <w:abstractNumId w:val="6"/>
  </w:num>
  <w:num w:numId="10">
    <w:abstractNumId w:val="9"/>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59"/>
    <w:rsid w:val="00140431"/>
    <w:rsid w:val="00245E59"/>
    <w:rsid w:val="0035118B"/>
    <w:rsid w:val="004B4284"/>
    <w:rsid w:val="004C21BF"/>
    <w:rsid w:val="009761B5"/>
    <w:rsid w:val="00B1738A"/>
    <w:rsid w:val="00DF3402"/>
    <w:rsid w:val="00F2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3402"/>
    <w:pPr>
      <w:spacing w:after="200" w:line="276" w:lineRule="auto"/>
      <w:ind w:left="720"/>
      <w:contextualSpacing/>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F3402"/>
    <w:pPr>
      <w:spacing w:after="0" w:line="240" w:lineRule="auto"/>
      <w:ind w:left="181" w:hanging="181"/>
      <w:jc w:val="both"/>
    </w:pPr>
    <w:rPr>
      <w:rFonts w:ascii="Times New Roman" w:hAnsi="Times New Roman" w:cs="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24ACC"/>
    <w:pPr>
      <w:tabs>
        <w:tab w:val="center" w:pos="4680"/>
        <w:tab w:val="right" w:pos="9360"/>
      </w:tabs>
    </w:pPr>
  </w:style>
  <w:style w:type="character" w:customStyle="1" w:styleId="HeaderChar">
    <w:name w:val="Header Char"/>
    <w:basedOn w:val="DefaultParagraphFont"/>
    <w:link w:val="Header"/>
    <w:uiPriority w:val="99"/>
    <w:rsid w:val="00F24A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ACC"/>
    <w:pPr>
      <w:tabs>
        <w:tab w:val="center" w:pos="4680"/>
        <w:tab w:val="right" w:pos="9360"/>
      </w:tabs>
    </w:pPr>
  </w:style>
  <w:style w:type="character" w:customStyle="1" w:styleId="FooterChar">
    <w:name w:val="Footer Char"/>
    <w:basedOn w:val="DefaultParagraphFont"/>
    <w:link w:val="Footer"/>
    <w:uiPriority w:val="99"/>
    <w:rsid w:val="00F24A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3402"/>
    <w:pPr>
      <w:spacing w:after="200" w:line="276" w:lineRule="auto"/>
      <w:ind w:left="720"/>
      <w:contextualSpacing/>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F3402"/>
    <w:pPr>
      <w:spacing w:after="0" w:line="240" w:lineRule="auto"/>
      <w:ind w:left="181" w:hanging="181"/>
      <w:jc w:val="both"/>
    </w:pPr>
    <w:rPr>
      <w:rFonts w:ascii="Times New Roman" w:hAnsi="Times New Roman" w:cs="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24ACC"/>
    <w:pPr>
      <w:tabs>
        <w:tab w:val="center" w:pos="4680"/>
        <w:tab w:val="right" w:pos="9360"/>
      </w:tabs>
    </w:pPr>
  </w:style>
  <w:style w:type="character" w:customStyle="1" w:styleId="HeaderChar">
    <w:name w:val="Header Char"/>
    <w:basedOn w:val="DefaultParagraphFont"/>
    <w:link w:val="Header"/>
    <w:uiPriority w:val="99"/>
    <w:rsid w:val="00F24A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ACC"/>
    <w:pPr>
      <w:tabs>
        <w:tab w:val="center" w:pos="4680"/>
        <w:tab w:val="right" w:pos="9360"/>
      </w:tabs>
    </w:pPr>
  </w:style>
  <w:style w:type="character" w:customStyle="1" w:styleId="FooterChar">
    <w:name w:val="Footer Char"/>
    <w:basedOn w:val="DefaultParagraphFont"/>
    <w:link w:val="Footer"/>
    <w:uiPriority w:val="99"/>
    <w:rsid w:val="00F24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6</cp:revision>
  <dcterms:created xsi:type="dcterms:W3CDTF">2021-08-23T11:47:00Z</dcterms:created>
  <dcterms:modified xsi:type="dcterms:W3CDTF">2023-11-26T12:38:00Z</dcterms:modified>
</cp:coreProperties>
</file>